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2A6170AB" w:rsidR="00AD73D3" w:rsidRPr="00AD73D3" w:rsidRDefault="00197180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6F46" wp14:editId="786042A9">
                <wp:simplePos x="0" y="0"/>
                <wp:positionH relativeFrom="page">
                  <wp:posOffset>714375</wp:posOffset>
                </wp:positionH>
                <wp:positionV relativeFrom="page">
                  <wp:posOffset>1724025</wp:posOffset>
                </wp:positionV>
                <wp:extent cx="5676900" cy="36118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61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C1186" w14:textId="5A569B47" w:rsidR="00F907C0" w:rsidRPr="00483176" w:rsidRDefault="008950B0" w:rsidP="00483176">
                            <w:pPr>
                              <w:pStyle w:val="Title"/>
                            </w:pPr>
                            <w:proofErr w:type="spellStart"/>
                            <w:r>
                              <w:t>Adroddiad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r w:rsidR="001B3313">
                              <w:t>lynyddol</w:t>
                            </w:r>
                            <w:proofErr w:type="spellEnd"/>
                            <w:r w:rsidR="001B3313">
                              <w:t xml:space="preserve"> </w:t>
                            </w:r>
                            <w:proofErr w:type="spellStart"/>
                            <w:r w:rsidR="001B3313">
                              <w:t>Partneriaeth</w:t>
                            </w:r>
                            <w:proofErr w:type="spellEnd"/>
                            <w:r w:rsidR="001B3313">
                              <w:t xml:space="preserve"> </w:t>
                            </w:r>
                            <w:proofErr w:type="spellStart"/>
                            <w:r w:rsidR="001B3313">
                              <w:t>Gymdeithasol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25pt;margin-top:135.75pt;width:447pt;height:28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" filled="f" stroked="f" strokeweight=".5pt">
                <v:textbox inset="0,0,0,0">
                  <w:txbxContent>
                    <w:p w14:paraId="144C1186" w14:textId="5A569B47" w:rsidR="00F907C0" w:rsidRPr="00483176" w:rsidRDefault="008950B0" w:rsidP="00483176">
                      <w:pPr>
                        <w:pStyle w:val="Title"/>
                      </w:pPr>
                      <w:proofErr w:type="spellStart"/>
                      <w:r>
                        <w:t>Adroddiad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</w:t>
                      </w:r>
                      <w:r w:rsidR="001B3313">
                        <w:t>lynyddol</w:t>
                      </w:r>
                      <w:proofErr w:type="spellEnd"/>
                      <w:r w:rsidR="001B3313">
                        <w:t xml:space="preserve"> </w:t>
                      </w:r>
                      <w:proofErr w:type="spellStart"/>
                      <w:r w:rsidR="001B3313">
                        <w:t>Partneriaeth</w:t>
                      </w:r>
                      <w:proofErr w:type="spellEnd"/>
                      <w:r w:rsidR="001B3313">
                        <w:t xml:space="preserve"> </w:t>
                      </w:r>
                      <w:proofErr w:type="spellStart"/>
                      <w:r w:rsidR="001B3313">
                        <w:t>Gymdeithasol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2236A75A">
        <w:rPr>
          <w:noProof/>
        </w:rPr>
        <w:drawing>
          <wp:inline distT="0" distB="0" distL="0" distR="0" wp14:anchorId="379BA52E" wp14:editId="07172601">
            <wp:extent cx="6124575" cy="8667045"/>
            <wp:effectExtent l="0" t="0" r="0" b="0"/>
            <wp:docPr id="2737836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6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560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890B7" wp14:editId="65CAEF08">
                <wp:simplePos x="0" y="0"/>
                <wp:positionH relativeFrom="page">
                  <wp:posOffset>711200</wp:posOffset>
                </wp:positionH>
                <wp:positionV relativeFrom="page">
                  <wp:posOffset>5470410</wp:posOffset>
                </wp:positionV>
                <wp:extent cx="552450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62E62" w14:textId="3E6434B2" w:rsidR="00053AFA" w:rsidRPr="00053AFA" w:rsidRDefault="00197180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2024-25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56pt;margin-top:430.75pt;width:435pt;height:16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ZEAIAACQEAAAOAAAAZHJzL2Uyb0RvYy54bWysU11r2zAUfR/sPwi9L3aypis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" filled="f" stroked="f" strokeweight=".5pt">
                <v:textbox inset="0,0,0,0">
                  <w:txbxContent>
                    <w:p w14:paraId="03A62E62" w14:textId="3E6434B2" w:rsidR="00053AFA" w:rsidRPr="00053AFA" w:rsidRDefault="00197180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2024-25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30D08E48" w:rsidR="00053AFA" w:rsidRPr="00483176" w:rsidRDefault="00053AFA" w:rsidP="00483176">
                            <w:pPr>
                              <w:pStyle w:val="Cover-Documentdateversion"/>
                            </w:pPr>
                            <w:r w:rsidRPr="00483176">
                              <w:t>Date/version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30D08E48" w:rsidR="00053AFA" w:rsidRPr="00483176" w:rsidRDefault="00053AFA" w:rsidP="00483176">
                      <w:pPr>
                        <w:pStyle w:val="Cover-Documentdateversion"/>
                      </w:pPr>
                      <w:r w:rsidRPr="00483176">
                        <w:t>Date/version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6131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6127E687" w14:textId="77777777" w:rsidR="00917A86" w:rsidRPr="00917A86" w:rsidRDefault="00917A86" w:rsidP="00917A86">
      <w:pPr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</w:pPr>
      <w:r w:rsidRPr="00917A86"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  <w:lastRenderedPageBreak/>
        <w:t>Cyflwyniad</w:t>
      </w:r>
    </w:p>
    <w:p w14:paraId="5BBCBF09" w14:textId="77777777" w:rsidR="000D2EE5" w:rsidRPr="000D2EE5" w:rsidRDefault="000D2EE5" w:rsidP="00A66782">
      <w:r w:rsidRPr="000D2EE5">
        <w:t>Rydym yn falch o gyflwyno Adroddiad Blynyddol cyntaf y Bartneriaeth Gymdeithasol rhwng Chwaraeon Cymru a PCS. Mae ein partneriaeth wedi dechrau'n gadarnhaol gydag ymgysylltu a chydweithio rheolaidd mewn meysydd allweddol.</w:t>
      </w:r>
    </w:p>
    <w:p w14:paraId="72F9A34B" w14:textId="77777777" w:rsidR="000D2EE5" w:rsidRPr="000D2EE5" w:rsidRDefault="000D2EE5" w:rsidP="00A66782">
      <w:r w:rsidRPr="000D2EE5">
        <w:t>Bydd yr adroddiad hwn yn tynnu sylw at rai o gyflawniadau allweddol y Bartneriaeth, gan gynnwys sut rydym wedi cydweithio ar feysydd sy'n ymwneud â gwaith teg, cydraddoldeb, amrywiaeth a chynhwysiant yn ogystal ag adolygu Nodau Llesiant.</w:t>
      </w:r>
    </w:p>
    <w:p w14:paraId="6DFA6B14" w14:textId="77777777" w:rsidR="000D2EE5" w:rsidRPr="000D2EE5" w:rsidRDefault="000D2EE5" w:rsidP="00A66782">
      <w:r w:rsidRPr="000D2EE5">
        <w:t>Rydym yn edrych ymlaen at barhau i gydweithio mewn partneriaeth i gyflawni ar gyfer ein staff a'n cymunedau.</w:t>
      </w:r>
    </w:p>
    <w:p w14:paraId="74EABD0E" w14:textId="2580B83C" w:rsidR="008A7A86" w:rsidRDefault="00A66782" w:rsidP="008A7A86">
      <w:pPr>
        <w:pStyle w:val="Heading1"/>
      </w:pPr>
      <w:r>
        <w:t xml:space="preserve">Ein Dull o </w:t>
      </w:r>
      <w:proofErr w:type="spellStart"/>
      <w:r>
        <w:t>Weithredu</w:t>
      </w:r>
      <w:proofErr w:type="spellEnd"/>
    </w:p>
    <w:p w14:paraId="13F2763D" w14:textId="77777777" w:rsidR="006F7A42" w:rsidRPr="006F7A42" w:rsidRDefault="006F7A42" w:rsidP="006F7A42">
      <w:r w:rsidRPr="006F7A42">
        <w:t>Mae gan Chwaraeon Cymru a PCS berthynas hirsefydlog wedi'i hadeiladu ar barch at ei gilydd a chydweithredu. Mae'r trefniadau partneriaeth gymdeithasol wedi ein galluogi i adeiladu ar y sylfaen hon ac ehangu mewnbwn PCS i feysydd blaenoriaeth, gan gynnwys y Nodau Llesiant a meysydd polisi eraill.</w:t>
      </w:r>
    </w:p>
    <w:p w14:paraId="57AEB8EE" w14:textId="77777777" w:rsidR="006F7A42" w:rsidRPr="006F7A42" w:rsidRDefault="006F7A42" w:rsidP="006F7A42">
      <w:r w:rsidRPr="006F7A42">
        <w:t>Mae Cytundeb Partneriaeth Gymdeithasol wedi cael ei ddrafftio a'i drafod i ffurfioli trefniadau, gan gynnwys swyddogaethau a chyfrifoldebau. Bydd hyn yn cael ei ailadrodd a'i gwblhau ymhellach yn 2025-26.</w:t>
      </w:r>
    </w:p>
    <w:p w14:paraId="64F97A32" w14:textId="77777777" w:rsidR="006F7A42" w:rsidRPr="006F7A42" w:rsidRDefault="006F7A42" w:rsidP="006F7A42">
      <w:r w:rsidRPr="006F7A42">
        <w:t>Cynhelir cyfarfodydd chwarterol rhwng PCS a Chwaraeon Cymru i drafod materion allweddol sy'n ymwneud â staff, polisïau a phartneriaeth. Gellir galw cyfarfodydd hefyd i drafod unrhyw faterion ad hoc yn ôl yr angen.</w:t>
      </w:r>
    </w:p>
    <w:p w14:paraId="51D1B40B" w14:textId="77777777" w:rsidR="006F7A42" w:rsidRPr="006F7A42" w:rsidRDefault="006F7A42" w:rsidP="006F7A42">
      <w:r w:rsidRPr="006F7A42">
        <w:t>Mynychodd aelodau o staff Chwaraeon Cymru (gan gynnwys cynrychiolwyr PCS) ddigwyddiadau Partneriaethau Cymdeithasol Llywodraeth Cymru a gynhaliwyd yn ystod y flwyddyn, gan ein galluogi i ddysgu o brofiadau partneriaethau llwyddiannus eraill.</w:t>
      </w:r>
    </w:p>
    <w:p w14:paraId="4BAB0524" w14:textId="77777777" w:rsidR="00CA15DA" w:rsidRPr="00CA15DA" w:rsidRDefault="00CA15DA" w:rsidP="00CA15DA">
      <w:pPr>
        <w:pStyle w:val="Heading2"/>
        <w:spacing w:after="240"/>
        <w:rPr>
          <w:rFonts w:ascii="Montserrat ExtraBold" w:hAnsi="Montserrat ExtraBold"/>
          <w:color w:val="174963" w:themeColor="accent2"/>
          <w:sz w:val="56"/>
          <w:szCs w:val="32"/>
          <w:lang w:val="cy-GB"/>
        </w:rPr>
      </w:pPr>
      <w:r w:rsidRPr="00CA15DA">
        <w:rPr>
          <w:rFonts w:ascii="Montserrat ExtraBold" w:hAnsi="Montserrat ExtraBold"/>
          <w:color w:val="174963" w:themeColor="accent2"/>
          <w:sz w:val="56"/>
          <w:szCs w:val="32"/>
          <w:lang w:val="cy-GB"/>
        </w:rPr>
        <w:t>Cydymffurfio â'r Ddeddf</w:t>
      </w:r>
    </w:p>
    <w:p w14:paraId="5482810F" w14:textId="77777777" w:rsidR="0065490E" w:rsidRPr="0065490E" w:rsidRDefault="0065490E" w:rsidP="0065490E">
      <w:pPr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</w:pPr>
      <w:r w:rsidRPr="0065490E"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  <w:t>Nodau Llesiant</w:t>
      </w:r>
    </w:p>
    <w:p w14:paraId="554814C9" w14:textId="77777777" w:rsidR="00CF6B5B" w:rsidRPr="00CF6B5B" w:rsidRDefault="00CF6B5B" w:rsidP="00CF6B5B">
      <w:r w:rsidRPr="00CF6B5B">
        <w:t xml:space="preserve">Mae Strategaeth Chwaraeon Cymru yn hirdymor ei natur ac mae'n amlinellu chwe bwriad strategol, sy'n gwasanaethu fel y Nodau Llesiant. Mae'r Bwriadau Strategol wedi'u cynllunio i ddylanwadu ar y ffordd rydym yn gweithio ac maent fel a </w:t>
      </w:r>
      <w:proofErr w:type="gramStart"/>
      <w:r w:rsidRPr="00CF6B5B">
        <w:t>ganlyn:-</w:t>
      </w:r>
      <w:proofErr w:type="gramEnd"/>
    </w:p>
    <w:p w14:paraId="4952567C" w14:textId="77777777" w:rsidR="00CF6B5B" w:rsidRPr="00CF6B5B" w:rsidRDefault="00CF6B5B" w:rsidP="00CF6B5B">
      <w:r w:rsidRPr="00CF6B5B">
        <w:lastRenderedPageBreak/>
        <w:t>1. </w:t>
      </w:r>
      <w:r w:rsidRPr="00CF6B5B">
        <w:rPr>
          <w:b/>
          <w:bCs/>
        </w:rPr>
        <w:t>Bod yn berson-ganolog:</w:t>
      </w:r>
      <w:r w:rsidRPr="00CF6B5B">
        <w:t> Mae anghenion a chymhellion yr unigolyn yn arwain y ddarpariaeth, boed newydd ddechrau arni, yn anelu at gynnydd neu'n ymdrechu am ragoriaeth ar lwyfan y byd.</w:t>
      </w:r>
    </w:p>
    <w:p w14:paraId="76CCA95C" w14:textId="77777777" w:rsidR="00CF6B5B" w:rsidRPr="00CF6B5B" w:rsidRDefault="00CF6B5B" w:rsidP="00CF6B5B">
      <w:r w:rsidRPr="00CF6B5B">
        <w:t>2. </w:t>
      </w:r>
      <w:r w:rsidRPr="00CF6B5B">
        <w:rPr>
          <w:b/>
          <w:bCs/>
        </w:rPr>
        <w:t>Rhoi dechrau gwych i bob person ifanc:</w:t>
      </w:r>
      <w:r w:rsidRPr="00CF6B5B">
        <w:t> Mae gan bob person ifanc y sgiliau, yr hyder a'r cymhelliant i'w galluogi i fwynhau a gwneud cynnydd drwy chwaraeon; gan roi sylfeini iddynt fyw bywyd actif, iach a chyfoethog.</w:t>
      </w:r>
    </w:p>
    <w:p w14:paraId="248A3838" w14:textId="77777777" w:rsidR="00CF6B5B" w:rsidRPr="00CF6B5B" w:rsidRDefault="00CF6B5B" w:rsidP="00CF6B5B">
      <w:r w:rsidRPr="00CF6B5B">
        <w:t>3. </w:t>
      </w:r>
      <w:r w:rsidRPr="00CF6B5B">
        <w:rPr>
          <w:b/>
          <w:bCs/>
        </w:rPr>
        <w:t>Sicrhau bod pawb yn cael y cyfle i fod yn actif drwy chwaraeon:</w:t>
      </w:r>
      <w:r w:rsidRPr="00CF6B5B">
        <w:t> Mae chwaraeon yn gynhwysol ac yn darparu profiad gwych i bawb.</w:t>
      </w:r>
    </w:p>
    <w:p w14:paraId="659B7151" w14:textId="77777777" w:rsidR="00CF6B5B" w:rsidRPr="00CF6B5B" w:rsidRDefault="00CF6B5B" w:rsidP="00CF6B5B">
      <w:r w:rsidRPr="00CF6B5B">
        <w:t>4. </w:t>
      </w:r>
      <w:r w:rsidRPr="00CF6B5B">
        <w:rPr>
          <w:b/>
          <w:bCs/>
        </w:rPr>
        <w:t>Dod â phobl at ei gilydd ar gyfer y tymor hir:</w:t>
      </w:r>
      <w:r w:rsidRPr="00CF6B5B">
        <w:t> Mae sector chwaraeon cydweithredol, cynaliadwy a llwyddiannus yn ei le, sy’n cael ei arwain gan wybodaeth a dysgu ar y cyd.</w:t>
      </w:r>
    </w:p>
    <w:p w14:paraId="17571A61" w14:textId="77777777" w:rsidR="00CF6B5B" w:rsidRPr="00CF6B5B" w:rsidRDefault="00CF6B5B" w:rsidP="00CF6B5B">
      <w:r w:rsidRPr="00CF6B5B">
        <w:t>5. </w:t>
      </w:r>
      <w:r w:rsidRPr="00CF6B5B">
        <w:rPr>
          <w:b/>
          <w:bCs/>
        </w:rPr>
        <w:t>Arddangos manteision chwaraeon:</w:t>
      </w:r>
      <w:r w:rsidRPr="00CF6B5B">
        <w:t> Mae effaith chwaraeon yn amlwg, ac mae cyrhaeddiad chwaraeon yn cael ei ddeall, ei werthfawrogi, ei arddangos a'i ddathlu'n llawn ledled Cymru.</w:t>
      </w:r>
    </w:p>
    <w:p w14:paraId="039BA893" w14:textId="77777777" w:rsidR="00CF6B5B" w:rsidRPr="00CF6B5B" w:rsidRDefault="00CF6B5B" w:rsidP="00CF6B5B">
      <w:r w:rsidRPr="00CF6B5B">
        <w:t>6. </w:t>
      </w:r>
      <w:r w:rsidRPr="00CF6B5B">
        <w:rPr>
          <w:b/>
          <w:bCs/>
        </w:rPr>
        <w:t>Bod yn sefydliad o werth mawr:</w:t>
      </w:r>
      <w:r w:rsidRPr="00CF6B5B">
        <w:t> Mae Chwaraeon Cymru yn sefydliad uchel ei barch sy'n ymdrechu i orgyflawni drwy ddarparu patrwm o wasanaeth drwy ein staff gwerthfawr.</w:t>
      </w:r>
    </w:p>
    <w:p w14:paraId="059EBEC3" w14:textId="77777777" w:rsidR="00CF6B5B" w:rsidRPr="00CF6B5B" w:rsidRDefault="00CF6B5B" w:rsidP="00CF6B5B">
      <w:r w:rsidRPr="00CF6B5B">
        <w:t>Caiff y Nodau Llesiant eu hadolygu'n flynyddol i asesu cynnydd ac i benderfynu a ydynt yn parhau i fod yn briodol. Cynhaliwyd yr adolygiad hwn ym mis Mawrth 2025 ac roedd yn cynnwys sawl aelod o staff yn adolygu crynodeb o gynnydd ac wedyn cyfarfod i drafod y nodau a'u perthnasedd parhaus yn ogystal â rhoi cyfle i dynnu sylw at feysydd cynnydd eraill. Mae'r adolygiad hwn wedi cynnwys PCS drwy ein trefniadau partneriaeth gymdeithasol. Cynhaliwyd cyfarfod gyda thîm Gweithredol y gangen i drafod y nodau a'r cynnydd a wnaed, gan gyfrannu at yr adolygiad blynyddol. Mae'r adolygiad hwn wedi cadarnhau bod y nodau’n parhau i fod yn briodol. Bydd Adroddiad Blynyddol Chwaraeon Cymru ar gyfer 2024-25 wedi'i strwythuro o amgylch y nodau llesiant hyn, gan ddatgan cynnydd a nodi dysgu ar gyfer y dyfodol.</w:t>
      </w:r>
    </w:p>
    <w:p w14:paraId="3608EA86" w14:textId="77777777" w:rsidR="00CF6B5B" w:rsidRPr="00CF6B5B" w:rsidRDefault="00CF6B5B" w:rsidP="00CF6B5B">
      <w:r w:rsidRPr="00CF6B5B">
        <w:t>Yn ogystal, mae PCS wedi bod yn rhan o adolygiad o sut mae Chwaraeon Cymru yn gwneud cynnydd gyda'r ffyrdd o weithio drwy'r Gwirydd Ffordd o Weithio, adnodd hunanasesu a ddatblygwyd gan Swyddfa Comisiynydd Cenedlaethau'r Dyfodol. Mae'r adolygiad hwn yn barhaus ond ei nod yw tynnu sylw at feysydd o arfer da a'r rhai lle gellir gwneud cynnydd pellach.</w:t>
      </w:r>
    </w:p>
    <w:p w14:paraId="0CF35915" w14:textId="77777777" w:rsidR="003129FC" w:rsidRPr="003129FC" w:rsidRDefault="003129FC" w:rsidP="003129FC">
      <w:pPr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</w:pPr>
      <w:r w:rsidRPr="003129FC"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  <w:t>Penderfyniadau / Prosiectau o Natur Strategol</w:t>
      </w:r>
    </w:p>
    <w:p w14:paraId="43DB773F" w14:textId="77777777" w:rsidR="009E32D8" w:rsidRPr="009E32D8" w:rsidRDefault="009E32D8" w:rsidP="009E32D8">
      <w:r w:rsidRPr="009E32D8">
        <w:t>Rydym wedi gweithio mewn partneriaeth ar sawl prosiect allweddol sy'n hyrwyddo ein huchelgeisiau ar y cyd yn ymwneud â gwaith teg a chydraddoldeb, amrywiaeth a chynhwysiant.</w:t>
      </w:r>
    </w:p>
    <w:p w14:paraId="557A7D1C" w14:textId="77777777" w:rsidR="009E32D8" w:rsidRPr="009E32D8" w:rsidRDefault="009E32D8" w:rsidP="009E32D8">
      <w:r w:rsidRPr="009E32D8">
        <w:t>Yn ystod y flwyddyn, buom yn gweithio gyda'n gilydd i ddatblygu tendr ar gyfer darnau gwaith pwrpasol i hybu ein cynnydd tuag at ddod yn sefydliad Gwrth-</w:t>
      </w:r>
      <w:r w:rsidRPr="009E32D8">
        <w:lastRenderedPageBreak/>
        <w:t>hiliol. Amlinellodd y tendr ofyniad i gynnal adolygiad o'r dechrau i'r diwedd o brosesau recriwtio drwy lens cynhwysiant yn ogystal â chomisiynu datblygiad hyfforddiant Gwrth-hiliol. Sefydlwyd tîm ar y cyd yn cynnwys staff Chwaraeon Cymru a PCS i adolygu a sgorio'r tendrau ac wedyn cyfweld â'r cynigwyr. Gweithiodd y trefniant hwn yn effeithiol a rhoddodd hyder bod proses gadarn wedi'i chynnal. Yn bwysig, lluniwyd maen prawf allweddol a gynhwyswyd yn sgorio'r tendrau yn ymwneud â chyfrifoldeb cymdeithasol. Yn ogystal â darparu'r gwasanaethau a gomisiynwyd, cynigiodd y cynigydd llwyddiannus (heb unrhyw gost ychwanegol) weithdai i gefnogi pobl i ddychwelyd i'r gwaith. Mae hyn wedi cynnwys gweithdai CV a sgiliau cyfweliad.</w:t>
      </w:r>
    </w:p>
    <w:p w14:paraId="571E711D" w14:textId="77777777" w:rsidR="009E32D8" w:rsidRPr="009E32D8" w:rsidRDefault="009E32D8" w:rsidP="009E32D8">
      <w:r w:rsidRPr="009E32D8">
        <w:t>Prosiect pwysig arall a gychwynnwyd yn ystod y flwyddyn oedd yr adolygiad o Asesiadau o Effaith Integredig i sicrhau eu bod yn gyfeillgar i ddefnyddwyr ac yn cael eu defnyddio'n briodol. Gwahoddwyd aelodau PCS i fod yn ymgynghorai yn y darn pwysig hwn o waith.</w:t>
      </w:r>
    </w:p>
    <w:p w14:paraId="4BF66F71" w14:textId="77777777" w:rsidR="00D53196" w:rsidRPr="00D53196" w:rsidRDefault="00D53196" w:rsidP="00D53196">
      <w:pPr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</w:pPr>
      <w:r w:rsidRPr="00D53196">
        <w:rPr>
          <w:rFonts w:ascii="Montserrat SemiBold" w:eastAsiaTheme="majorEastAsia" w:hAnsi="Montserrat SemiBold" w:cstheme="majorBidi"/>
          <w:b/>
          <w:color w:val="E32434" w:themeColor="accent1"/>
          <w:sz w:val="40"/>
          <w:szCs w:val="26"/>
          <w:lang w:val="cy-GB"/>
        </w:rPr>
        <w:t>Cyflog Teg</w:t>
      </w:r>
    </w:p>
    <w:p w14:paraId="222521D1" w14:textId="77777777" w:rsidR="00BA5B1A" w:rsidRPr="00BA5B1A" w:rsidRDefault="00BA5B1A" w:rsidP="00BA5B1A">
      <w:pPr>
        <w:rPr>
          <w:rFonts w:ascii="Montserrat" w:hAnsi="Montserrat" w:cs="Calibri"/>
          <w:szCs w:val="24"/>
          <w:lang w:val="cy-GB"/>
        </w:rPr>
      </w:pPr>
      <w:r w:rsidRPr="00BA5B1A">
        <w:rPr>
          <w:rFonts w:ascii="Montserrat" w:hAnsi="Montserrat" w:cs="Calibri"/>
          <w:szCs w:val="24"/>
          <w:lang w:val="cy-GB"/>
        </w:rPr>
        <w:t>Rydym wedi parhau i gydweithio'n agos i sicrhau bod staff Chwaraeon Cymru yn cael eu talu'n deg a bod amodau gwaith da yn eu lle. Gwnaed dyfarniad cyflog o 5% i'r holl staff, gan adlewyrchu’r trefniadau sydd yn eu lle yn Llywodraeth Cymru. Yn dilyn adborth gan PCS ynghylch pwysigrwydd amseriad y taliad, talwyd yr elfen ôl-ddyddio o'r dyfarniad cyflog hwn ym mis Rhagfyr, gan alluogi staff i weld y budd yn ystod cyfnod y Nadolig.</w:t>
      </w:r>
    </w:p>
    <w:p w14:paraId="058F0D0C" w14:textId="77777777" w:rsidR="00BA5B1A" w:rsidRPr="00BA5B1A" w:rsidRDefault="00BA5B1A" w:rsidP="00BA5B1A">
      <w:pPr>
        <w:rPr>
          <w:rFonts w:ascii="Montserrat" w:hAnsi="Montserrat" w:cs="Calibri"/>
          <w:szCs w:val="24"/>
          <w:lang w:val="cy-GB"/>
        </w:rPr>
      </w:pPr>
      <w:r w:rsidRPr="00BA5B1A">
        <w:rPr>
          <w:rFonts w:ascii="Montserrat" w:hAnsi="Montserrat" w:cs="Calibri"/>
          <w:szCs w:val="24"/>
          <w:lang w:val="cy-GB"/>
        </w:rPr>
        <w:t>Adolygwyd amrywiaeth o bolisïau’n ymwneud â gweithlu Chwaraeon Cymru yn ystod y flwyddyn ac, ym mhob achos, gofynnwyd am fewnbwn gan PCS a’i dderbyn. Roedd PCS hefyd yn gallu siapio’r polisïau drwy gyfrannu gwybodaeth o bolisïau sydd yn eu lle mewn cyrff cyhoeddus eraill, gan gynnwys polisïau cyfryngau cymdeithasol.</w:t>
      </w:r>
    </w:p>
    <w:p w14:paraId="5BF428B9" w14:textId="77777777" w:rsidR="00BA5B1A" w:rsidRPr="00BA5B1A" w:rsidRDefault="00BA5B1A" w:rsidP="00BA5B1A">
      <w:pPr>
        <w:rPr>
          <w:rFonts w:ascii="Montserrat" w:hAnsi="Montserrat" w:cs="Calibri"/>
          <w:szCs w:val="24"/>
          <w:lang w:val="cy-GB"/>
        </w:rPr>
      </w:pPr>
      <w:r w:rsidRPr="00BA5B1A">
        <w:rPr>
          <w:rFonts w:ascii="Montserrat" w:hAnsi="Montserrat" w:cs="Calibri"/>
          <w:szCs w:val="24"/>
          <w:lang w:val="cy-GB"/>
        </w:rPr>
        <w:t>Mae PCS yn parhau i chwarae rhan wrth werthuso swyddi newydd drwy broses JEGS i sgorio a graddio yn seiliedig ar fframwaith safonol. Mae hwn yn fewnbwn gwerthfawr gan sicrhau bod deiliaid swyddi’n cael eu digolledu'n deg am eu gwaith a'u cyfrifoldebau.</w:t>
      </w:r>
    </w:p>
    <w:p w14:paraId="22C514E8" w14:textId="77777777" w:rsidR="00520DE3" w:rsidRPr="00520DE3" w:rsidRDefault="00520DE3" w:rsidP="00520DE3">
      <w:pPr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</w:pPr>
      <w:r w:rsidRPr="00520DE3"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  <w:t>Edrych tua'r dyfodol</w:t>
      </w:r>
    </w:p>
    <w:p w14:paraId="0D7ED1FC" w14:textId="77777777" w:rsidR="00144A09" w:rsidRPr="00144A09" w:rsidRDefault="00144A09" w:rsidP="00144A09">
      <w:pPr>
        <w:rPr>
          <w:rFonts w:ascii="Montserrat" w:hAnsi="Montserrat" w:cs="Calibri"/>
          <w:szCs w:val="24"/>
          <w:lang w:val="cy-GB"/>
        </w:rPr>
      </w:pPr>
      <w:r w:rsidRPr="00144A09">
        <w:rPr>
          <w:rFonts w:ascii="Montserrat" w:hAnsi="Montserrat" w:cs="Calibri"/>
          <w:szCs w:val="24"/>
          <w:lang w:val="cy-GB"/>
        </w:rPr>
        <w:t>Mae PCS a Chwaraeon Cymru yn edrych ymlaen at adeiladu ar y dechrau cadarnhaol i'r bartneriaeth gymdeithasol yn 2025-26. Dyma’r blaenoriaethau ar gyfer y flwyddyn nesaf:-</w:t>
      </w:r>
    </w:p>
    <w:p w14:paraId="554A71CF" w14:textId="77777777" w:rsidR="00144A09" w:rsidRPr="00144A09" w:rsidRDefault="00144A09" w:rsidP="00144A09">
      <w:pPr>
        <w:numPr>
          <w:ilvl w:val="0"/>
          <w:numId w:val="5"/>
        </w:numPr>
        <w:rPr>
          <w:rFonts w:ascii="Montserrat" w:hAnsi="Montserrat" w:cs="Calibri"/>
          <w:szCs w:val="24"/>
          <w:lang w:val="cy-GB"/>
        </w:rPr>
      </w:pPr>
      <w:r w:rsidRPr="00144A09">
        <w:rPr>
          <w:rFonts w:ascii="Montserrat" w:hAnsi="Montserrat" w:cs="Calibri"/>
          <w:szCs w:val="24"/>
          <w:lang w:val="cy-GB"/>
        </w:rPr>
        <w:t>cwblhau'r Cytundeb Partneriaeth Gymdeithasol ffurfiol.</w:t>
      </w:r>
    </w:p>
    <w:p w14:paraId="23FCF40F" w14:textId="77777777" w:rsidR="00144A09" w:rsidRPr="00144A09" w:rsidRDefault="00144A09" w:rsidP="00144A09">
      <w:pPr>
        <w:numPr>
          <w:ilvl w:val="0"/>
          <w:numId w:val="5"/>
        </w:numPr>
        <w:rPr>
          <w:rFonts w:ascii="Montserrat" w:hAnsi="Montserrat" w:cs="Calibri"/>
          <w:szCs w:val="24"/>
          <w:lang w:val="cy-GB"/>
        </w:rPr>
      </w:pPr>
      <w:r w:rsidRPr="00144A09">
        <w:rPr>
          <w:rFonts w:ascii="Montserrat" w:hAnsi="Montserrat" w:cs="Calibri"/>
          <w:szCs w:val="24"/>
          <w:lang w:val="cy-GB"/>
        </w:rPr>
        <w:t>nodi penderfyniadau / prosiectau strategol allweddol y dylid eu hystyried mewn partneriaeth.</w:t>
      </w:r>
    </w:p>
    <w:p w14:paraId="3A2B9F78" w14:textId="77777777" w:rsidR="00144A09" w:rsidRPr="00144A09" w:rsidRDefault="00144A09" w:rsidP="00144A09">
      <w:pPr>
        <w:numPr>
          <w:ilvl w:val="0"/>
          <w:numId w:val="5"/>
        </w:numPr>
        <w:rPr>
          <w:rFonts w:ascii="Montserrat" w:hAnsi="Montserrat" w:cs="Calibri"/>
          <w:szCs w:val="24"/>
          <w:lang w:val="cy-GB"/>
        </w:rPr>
      </w:pPr>
      <w:r w:rsidRPr="00144A09">
        <w:rPr>
          <w:rFonts w:ascii="Montserrat" w:hAnsi="Montserrat" w:cs="Calibri"/>
          <w:szCs w:val="24"/>
          <w:lang w:val="cy-GB"/>
        </w:rPr>
        <w:lastRenderedPageBreak/>
        <w:t>parhau i gydweithio i sicrhau cyflog teg ac amodau gwaith da i staff yn Chwaraeon Cymru.</w:t>
      </w:r>
    </w:p>
    <w:p w14:paraId="36918507" w14:textId="77777777" w:rsidR="00144A09" w:rsidRPr="00144A09" w:rsidRDefault="00144A09" w:rsidP="00144A09">
      <w:pPr>
        <w:numPr>
          <w:ilvl w:val="0"/>
          <w:numId w:val="5"/>
        </w:numPr>
        <w:rPr>
          <w:rFonts w:ascii="Montserrat" w:hAnsi="Montserrat" w:cs="Calibri"/>
          <w:szCs w:val="24"/>
          <w:lang w:val="cy-GB"/>
        </w:rPr>
      </w:pPr>
      <w:r w:rsidRPr="00144A09">
        <w:rPr>
          <w:rFonts w:ascii="Montserrat" w:hAnsi="Montserrat" w:cs="Calibri"/>
          <w:szCs w:val="24"/>
          <w:lang w:val="cy-GB"/>
        </w:rPr>
        <w:t>adolygu cynnydd a pherthnasedd parhaus y Nodau Llesiant.</w:t>
      </w:r>
    </w:p>
    <w:p w14:paraId="6AC7BE2C" w14:textId="6CEE4FF8" w:rsidR="008145AB" w:rsidRPr="00A61048" w:rsidRDefault="008145AB" w:rsidP="00144A09">
      <w:pPr>
        <w:rPr>
          <w:rFonts w:ascii="Montserrat" w:hAnsi="Montserrat" w:cs="Calibri"/>
          <w:szCs w:val="24"/>
        </w:rPr>
      </w:pPr>
    </w:p>
    <w:sectPr w:rsidR="008145AB" w:rsidRPr="00A61048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F0722B7"/>
    <w:multiLevelType w:val="hybridMultilevel"/>
    <w:tmpl w:val="515472BE"/>
    <w:lvl w:ilvl="0" w:tplc="80C0EB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2035"/>
    <w:multiLevelType w:val="hybridMultilevel"/>
    <w:tmpl w:val="79B4850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67456461">
    <w:abstractNumId w:val="3"/>
  </w:num>
  <w:num w:numId="2" w16cid:durableId="779566732">
    <w:abstractNumId w:val="1"/>
  </w:num>
  <w:num w:numId="3" w16cid:durableId="1034312679">
    <w:abstractNumId w:val="0"/>
  </w:num>
  <w:num w:numId="4" w16cid:durableId="343635945">
    <w:abstractNumId w:val="4"/>
  </w:num>
  <w:num w:numId="5" w16cid:durableId="869672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A"/>
    <w:rsid w:val="00053AFA"/>
    <w:rsid w:val="000D2EE5"/>
    <w:rsid w:val="000E401C"/>
    <w:rsid w:val="000F3F31"/>
    <w:rsid w:val="00142259"/>
    <w:rsid w:val="00144A09"/>
    <w:rsid w:val="00197180"/>
    <w:rsid w:val="001B3313"/>
    <w:rsid w:val="001B4DAF"/>
    <w:rsid w:val="001F1BA1"/>
    <w:rsid w:val="00252FFF"/>
    <w:rsid w:val="002727B3"/>
    <w:rsid w:val="003129FC"/>
    <w:rsid w:val="00315AD5"/>
    <w:rsid w:val="00413916"/>
    <w:rsid w:val="00483176"/>
    <w:rsid w:val="004A6F2F"/>
    <w:rsid w:val="00506D1D"/>
    <w:rsid w:val="00513EA6"/>
    <w:rsid w:val="00520DE3"/>
    <w:rsid w:val="005C0CB8"/>
    <w:rsid w:val="005E47A6"/>
    <w:rsid w:val="00652C71"/>
    <w:rsid w:val="0065490E"/>
    <w:rsid w:val="006F03C1"/>
    <w:rsid w:val="006F7A42"/>
    <w:rsid w:val="007C60F4"/>
    <w:rsid w:val="008145AB"/>
    <w:rsid w:val="00867EC3"/>
    <w:rsid w:val="008769E1"/>
    <w:rsid w:val="008950B0"/>
    <w:rsid w:val="008A7A86"/>
    <w:rsid w:val="008D460B"/>
    <w:rsid w:val="00917A86"/>
    <w:rsid w:val="00951B02"/>
    <w:rsid w:val="00985E91"/>
    <w:rsid w:val="009D441B"/>
    <w:rsid w:val="009E32D8"/>
    <w:rsid w:val="00A66782"/>
    <w:rsid w:val="00A81616"/>
    <w:rsid w:val="00AC44C7"/>
    <w:rsid w:val="00AD73D3"/>
    <w:rsid w:val="00BA5B1A"/>
    <w:rsid w:val="00BE5685"/>
    <w:rsid w:val="00C15F95"/>
    <w:rsid w:val="00CA15DA"/>
    <w:rsid w:val="00CF6B5B"/>
    <w:rsid w:val="00D52560"/>
    <w:rsid w:val="00D53196"/>
    <w:rsid w:val="00D91D12"/>
    <w:rsid w:val="00E770C0"/>
    <w:rsid w:val="00EF52C5"/>
    <w:rsid w:val="00F3414E"/>
    <w:rsid w:val="00F81C1F"/>
    <w:rsid w:val="00F907C0"/>
    <w:rsid w:val="00FF6636"/>
    <w:rsid w:val="2236A75A"/>
    <w:rsid w:val="3E749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D6BC9415-47BD-D54B-84B2-F1C08904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BB850B4099043B02EA0D9371C23F4" ma:contentTypeVersion="15" ma:contentTypeDescription="Create a new document." ma:contentTypeScope="" ma:versionID="206de2ddae337002f84a920eb9d9c79d">
  <xsd:schema xmlns:xsd="http://www.w3.org/2001/XMLSchema" xmlns:xs="http://www.w3.org/2001/XMLSchema" xmlns:p="http://schemas.microsoft.com/office/2006/metadata/properties" xmlns:ns2="e16709b7-3a33-48df-b283-93369698f556" xmlns:ns3="f2873b2d-abc0-432b-bc7c-fc10582b5058" targetNamespace="http://schemas.microsoft.com/office/2006/metadata/properties" ma:root="true" ma:fieldsID="b2cded111e4886d18d7c31f0c4a5fe76" ns2:_="" ns3:_="">
    <xsd:import namespace="e16709b7-3a33-48df-b283-93369698f556"/>
    <xsd:import namespace="f2873b2d-abc0-432b-bc7c-fc10582b5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709b7-3a33-48df-b283-93369698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73b2d-abc0-432b-bc7c-fc10582b5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73b2d-abc0-432b-bc7c-fc10582b505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679A3B-08F1-414C-B774-4B9D006D6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709b7-3a33-48df-b283-93369698f556"/>
    <ds:schemaRef ds:uri="f2873b2d-abc0-432b-bc7c-fc10582b5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f2873b2d-abc0-432b-bc7c-fc10582b5058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Wilkins</cp:lastModifiedBy>
  <cp:revision>2</cp:revision>
  <dcterms:created xsi:type="dcterms:W3CDTF">2025-07-18T12:59:00Z</dcterms:created>
  <dcterms:modified xsi:type="dcterms:W3CDTF">2025-07-18T12:59:00Z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0x010100C31BB850B4099043B02EA0D9371C23F4</vt:lpwstr>
  </property>
  <property fmtid="{D5CDD505-2E9C-101B-9397-08002B2CF9AE}" pid="3" name="Order">
    <vt:r8>2992000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